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/>
          <w:bCs/>
          <w:sz w:val="20"/>
          <w:szCs w:val="20"/>
          <w:lang w:val="ru-RU"/>
        </w:rPr>
      </w:pPr>
      <w:r>
        <w:rPr>
          <w:rFonts w:ascii="Arial" w:hAnsi="Arial"/>
          <w:b/>
          <w:bCs/>
          <w:sz w:val="20"/>
          <w:szCs w:val="20"/>
          <w:lang w:val="ru-RU"/>
        </w:rPr>
        <w:t xml:space="preserve">                                                                                                                                                  </w:t>
      </w:r>
      <w:r>
        <w:rPr>
          <w:rFonts w:ascii="Arial" w:hAnsi="Arial"/>
          <w:bCs/>
          <w:sz w:val="20"/>
          <w:szCs w:val="20"/>
          <w:lang w:val="ru-RU"/>
        </w:rPr>
        <w:t>Приложение №1</w:t>
      </w:r>
    </w:p>
    <w:p>
      <w:pPr>
        <w:pStyle w:val="Normal"/>
        <w:jc w:val="center"/>
        <w:rPr>
          <w:rFonts w:ascii="Arial" w:hAnsi="Arial"/>
          <w:b/>
          <w:b/>
          <w:bCs/>
          <w:sz w:val="20"/>
          <w:szCs w:val="20"/>
          <w:lang w:val="ru-RU"/>
        </w:rPr>
      </w:pPr>
      <w:r>
        <w:rPr>
          <w:rFonts w:ascii="Arial" w:hAnsi="Arial"/>
          <w:b/>
          <w:bCs/>
          <w:sz w:val="20"/>
          <w:szCs w:val="20"/>
          <w:lang w:val="ru-RU"/>
        </w:rPr>
      </w:r>
    </w:p>
    <w:p>
      <w:pPr>
        <w:pStyle w:val="Normal"/>
        <w:jc w:val="center"/>
        <w:rPr>
          <w:rFonts w:ascii="Arial" w:hAnsi="Arial"/>
          <w:b/>
          <w:b/>
          <w:bCs/>
          <w:sz w:val="20"/>
          <w:szCs w:val="20"/>
          <w:lang w:val="ru-RU"/>
        </w:rPr>
      </w:pPr>
      <w:r>
        <w:rPr>
          <w:rFonts w:ascii="Arial" w:hAnsi="Arial"/>
          <w:b/>
          <w:bCs/>
          <w:sz w:val="20"/>
          <w:szCs w:val="20"/>
          <w:lang w:val="ru-RU"/>
        </w:rPr>
        <w:t xml:space="preserve">Техническое задание </w:t>
      </w:r>
    </w:p>
    <w:p>
      <w:pPr>
        <w:pStyle w:val="Normal"/>
        <w:jc w:val="center"/>
        <w:rPr>
          <w:rFonts w:ascii="Arial" w:hAnsi="Arial"/>
          <w:b/>
          <w:b/>
          <w:bCs/>
          <w:sz w:val="20"/>
          <w:szCs w:val="20"/>
          <w:lang w:val="ru-RU"/>
        </w:rPr>
      </w:pPr>
      <w:r>
        <w:rPr>
          <w:rFonts w:ascii="Arial" w:hAnsi="Arial"/>
          <w:b/>
          <w:bCs/>
          <w:sz w:val="20"/>
          <w:szCs w:val="20"/>
          <w:lang w:val="ru-RU"/>
        </w:rPr>
      </w:r>
    </w:p>
    <w:p>
      <w:pPr>
        <w:pStyle w:val="Normal"/>
        <w:jc w:val="center"/>
        <w:rPr>
          <w:rFonts w:ascii="Arial" w:hAnsi="Arial"/>
          <w:sz w:val="20"/>
          <w:szCs w:val="20"/>
          <w:lang w:val="ru-RU"/>
        </w:rPr>
      </w:pPr>
      <w:r>
        <w:rPr>
          <w:rFonts w:ascii="Arial" w:hAnsi="Arial"/>
          <w:sz w:val="20"/>
          <w:szCs w:val="20"/>
          <w:lang w:val="ru-RU"/>
        </w:rPr>
        <w:t>на оказание услуг погрузочно-разгрузочных работ «ООО Самарские коммунальные системы»</w:t>
      </w:r>
    </w:p>
    <w:p>
      <w:pPr>
        <w:pStyle w:val="Normal"/>
        <w:jc w:val="center"/>
        <w:rPr>
          <w:rFonts w:ascii="Arial" w:hAnsi="Arial"/>
          <w:sz w:val="20"/>
          <w:szCs w:val="20"/>
          <w:lang w:val="ru-RU"/>
        </w:rPr>
      </w:pPr>
      <w:r>
        <w:rPr>
          <w:rFonts w:ascii="Arial" w:hAnsi="Arial"/>
          <w:sz w:val="20"/>
          <w:szCs w:val="20"/>
          <w:lang w:val="ru-RU"/>
        </w:rPr>
      </w:r>
    </w:p>
    <w:p>
      <w:pPr>
        <w:pStyle w:val="Normal"/>
        <w:jc w:val="center"/>
        <w:rPr>
          <w:rFonts w:ascii="Arial" w:hAnsi="Arial"/>
          <w:sz w:val="20"/>
          <w:szCs w:val="20"/>
          <w:lang w:val="ru-RU"/>
        </w:rPr>
      </w:pPr>
      <w:r>
        <w:rPr>
          <w:rFonts w:ascii="Arial" w:hAnsi="Arial"/>
          <w:sz w:val="20"/>
          <w:szCs w:val="20"/>
          <w:lang w:val="ru-RU"/>
        </w:rPr>
      </w:r>
    </w:p>
    <w:tbl>
      <w:tblPr>
        <w:tblW w:w="10348" w:type="dxa"/>
        <w:jc w:val="left"/>
        <w:tblInd w:w="-90" w:type="dxa"/>
        <w:tblLayout w:type="fixed"/>
        <w:tblCellMar>
          <w:top w:w="55" w:type="dxa"/>
          <w:left w:w="51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671"/>
        <w:gridCol w:w="4006"/>
        <w:gridCol w:w="5671"/>
      </w:tblGrid>
      <w:tr>
        <w:trPr/>
        <w:tc>
          <w:tcPr>
            <w:tcW w:w="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4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Объект закупки</w:t>
            </w:r>
          </w:p>
        </w:tc>
        <w:tc>
          <w:tcPr>
            <w:tcW w:w="5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ind w:firstLine="371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Оказание комплекса услуг по проведению погрузочно-разгрузочных работ в подразделении складского хозяйства ООО «Самарские коммунальные системы».</w:t>
            </w:r>
          </w:p>
        </w:tc>
      </w:tr>
      <w:tr>
        <w:trPr>
          <w:trHeight w:val="285" w:hRule="atLeast"/>
        </w:trPr>
        <w:tc>
          <w:tcPr>
            <w:tcW w:w="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4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Количество работников</w:t>
            </w:r>
          </w:p>
        </w:tc>
        <w:tc>
          <w:tcPr>
            <w:tcW w:w="5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По потребности от 6 до 11 грузчиков.</w:t>
            </w:r>
          </w:p>
          <w:p>
            <w:pPr>
              <w:pStyle w:val="Style20"/>
              <w:widowControl w:val="false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/>
        <w:tc>
          <w:tcPr>
            <w:tcW w:w="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4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Место и время оказания услуг</w:t>
            </w:r>
          </w:p>
        </w:tc>
        <w:tc>
          <w:tcPr>
            <w:tcW w:w="5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- г. Самара ул. Антонова-Овсеенко 48. и другие объекты ООО «СКС».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Рабочие дни: с пн-чт с 8-00 до 17-00 ч. Пт с 8-00 до 16-00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Обеденный перерыв: с 12-00 до 12-48 ч.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Выходные дни : суббота, воскресение.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</w:r>
          </w:p>
        </w:tc>
      </w:tr>
      <w:tr>
        <w:trPr/>
        <w:tc>
          <w:tcPr>
            <w:tcW w:w="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4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Количество выполняемых работ и услуг</w:t>
            </w:r>
          </w:p>
        </w:tc>
        <w:tc>
          <w:tcPr>
            <w:tcW w:w="5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6"/>
                <w:tab w:val="left" w:pos="1146" w:leader="none"/>
              </w:tabs>
              <w:overflowPunct w:val="true"/>
              <w:spacing w:lineRule="auto" w:line="276"/>
              <w:ind w:firstLine="141"/>
              <w:rPr>
                <w:rFonts w:ascii="Arial" w:hAnsi="Arial" w:eastAsia="Times New Roman" w:cs="Arial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val="ru-RU" w:eastAsia="ru-RU" w:bidi="ar-SA"/>
              </w:rPr>
              <w:t>Физические объемы грузопотока зависят от производственной, ремонтной и инвестиционной программ Заказчика. Вследствие этого, Заказчиком будет применяться схема работы по разовым заявкам, в которых будет отражены профессии требуемого персонала, время работы, количество необходи</w:t>
            </w:r>
            <w:bookmarkStart w:id="0" w:name="_GoBack"/>
            <w:bookmarkEnd w:id="0"/>
            <w:r>
              <w:rPr>
                <w:rFonts w:eastAsia="Times New Roman" w:cs="Arial" w:ascii="Arial" w:hAnsi="Arial"/>
                <w:sz w:val="20"/>
                <w:szCs w:val="20"/>
                <w:lang w:val="ru-RU" w:eastAsia="ru-RU" w:bidi="ar-SA"/>
              </w:rPr>
              <w:t>мого персонала, характер груза и тип операции. Заявки на оказание услуги будут направляться в адрес Исполнителя не позднее чем за 5 (пять) рабочих дней до даты оказания услуги.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lang w:val="ru-RU"/>
              </w:rPr>
            </w:pPr>
            <w:r>
              <w:rPr>
                <w:rFonts w:cs="Arial" w:ascii="Arial" w:hAnsi="Arial"/>
                <w:lang w:val="ru-RU"/>
              </w:rPr>
            </w:r>
          </w:p>
        </w:tc>
      </w:tr>
      <w:tr>
        <w:trPr/>
        <w:tc>
          <w:tcPr>
            <w:tcW w:w="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4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Сопутствующие работы, услуги, перечень, сроки выполнения, требования к выполнению</w:t>
            </w:r>
          </w:p>
        </w:tc>
        <w:tc>
          <w:tcPr>
            <w:tcW w:w="5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Style21"/>
              <w:widowControl w:val="false"/>
              <w:tabs>
                <w:tab w:val="clear" w:pos="706"/>
                <w:tab w:val="left" w:pos="142" w:leader="none"/>
              </w:tabs>
              <w:spacing w:before="0" w:after="0"/>
              <w:ind w:right="225" w:hang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</w:rPr>
              <w:t xml:space="preserve">.  </w:t>
            </w:r>
            <w:r>
              <w:rPr>
                <w:rFonts w:cs="Arial" w:ascii="Arial" w:hAnsi="Arial"/>
                <w:sz w:val="20"/>
                <w:szCs w:val="20"/>
              </w:rPr>
              <w:t>Для выполнения услуг необходимы следующие категории сотрудников Исполнителя:</w:t>
            </w:r>
          </w:p>
          <w:p>
            <w:pPr>
              <w:pStyle w:val="Style21"/>
              <w:widowControl w:val="false"/>
              <w:tabs>
                <w:tab w:val="clear" w:pos="706"/>
                <w:tab w:val="left" w:pos="142" w:leader="none"/>
              </w:tabs>
              <w:spacing w:before="0" w:after="0"/>
              <w:ind w:left="432" w:right="225" w:hanging="43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- Грузчик - стропальщик;</w:t>
            </w:r>
          </w:p>
          <w:p>
            <w:pPr>
              <w:pStyle w:val="Style21"/>
              <w:widowControl w:val="false"/>
              <w:tabs>
                <w:tab w:val="clear" w:pos="706"/>
                <w:tab w:val="left" w:pos="142" w:leader="none"/>
              </w:tabs>
              <w:spacing w:before="0" w:after="0"/>
              <w:ind w:left="432" w:right="225" w:hanging="43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- Грузчик – по перевозка опасных грузов;</w:t>
            </w:r>
          </w:p>
          <w:p>
            <w:pPr>
              <w:pStyle w:val="Style20"/>
              <w:widowControl w:val="false"/>
              <w:ind w:firstLine="371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Минимальное количество сотрудников в 1 рабочий день не менее 6 человек согласно поданной заявки.</w:t>
            </w:r>
          </w:p>
        </w:tc>
      </w:tr>
      <w:tr>
        <w:trPr>
          <w:trHeight w:val="933" w:hRule="atLeast"/>
        </w:trPr>
        <w:tc>
          <w:tcPr>
            <w:tcW w:w="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4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Общие требования к работам, услугам</w:t>
            </w:r>
          </w:p>
        </w:tc>
        <w:tc>
          <w:tcPr>
            <w:tcW w:w="5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ru-RU"/>
              </w:rPr>
              <w:t>1. Выполнение погрузки, выгрузки и внутри складская переработка грузов (сортировка, укладка, перенос, перевешивание, фасовка) вручную с применением простейших погрузочно-разгрузочных устройств и средств транспортировки (тачки, тележки, носилки, рохли и т.п.).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ru-RU"/>
              </w:rPr>
              <w:t>2. Выполнение погрузки, выгрузки с помощью грузоподъемных механизмов и с использованием погрузчика.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ru-RU"/>
              </w:rPr>
              <w:t>3. Выполнение погрузки, выгрузки и транспортировка газобаллонного оборудования и сосудов, работающих под избыточным давлением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ru-RU"/>
              </w:rPr>
              <w:t>4.Установка автокрана, проверка и выбраковка грузоподъемных стропов до начала проведения работ, проверка устройств временных спусков и других устройств для погрузки и разгрузки грузов;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ru-RU"/>
              </w:rPr>
              <w:t>5. . Выполнение погрузки, выгрузки с использованием автокрана.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ru-RU"/>
              </w:rPr>
              <w:t>6. Крепление и укрывание грузов на складах и транспортных средствах;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ru-RU"/>
              </w:rPr>
              <w:t>7. Переноска щитов и трапов, подкладок, поддонов;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ru-RU"/>
              </w:rPr>
              <w:t>8. Уборка кузова транспортных средств от остатков упаковочного материала от перевозимых ТМЦ.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ru-RU"/>
              </w:rPr>
              <w:t>9. Уборка рабочего места после проведения погрузочно-разгрузочных работ.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lang w:val="ru-RU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ru-RU"/>
              </w:rPr>
              <w:t>10.Поддержание чистоты на территориях, прилегающих к складам и складским площадкам. В зимний период года уборка и расчистка от снега складских площадок и прилегающих к складам и складским площадкам территорий.</w:t>
            </w:r>
          </w:p>
        </w:tc>
      </w:tr>
      <w:tr>
        <w:trPr/>
        <w:tc>
          <w:tcPr>
            <w:tcW w:w="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4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Требования к качественным характеристикам работ и услуг, требования к функциональным характеристикам товаров, в том числе подлежащих использованию при выполнении работ, оказании услуг</w:t>
            </w:r>
          </w:p>
        </w:tc>
        <w:tc>
          <w:tcPr>
            <w:tcW w:w="5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ru-RU"/>
              </w:rPr>
              <w:t>Выполнение погрузочно-разгрузочных работ силами квалифицированного персонала, имеющих соответствующие удостоверения на право проведения данного вида работ, обговоренном при подаче заявки.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ru-RU"/>
              </w:rPr>
              <w:t>Обучение и инструктаж грузчиков по правилам охраны труда и нормам техники безопасности (в том числе и в случае, когда при выполнении погрузочно-разгрузочных работ установлены повышенные требования к охране труда, с помощью грузоподъемных механизмов и технике безопасности) с проведением периодической аттестации (проверки знаний), соблюдение указанных правил и норм;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Необходимое оборудование и инструмент (стропы, чалки, троса, ручной инструмент, ручной электроинструмент), спецодежда и средства индивидуальной защиты (каска, очки, беруши, респиратор) в соответствии с типовыми отраслевыми нормами для проведения погрузочно-разгрузочных работ предоставляются за счет Исполнителя.</w:t>
            </w:r>
          </w:p>
        </w:tc>
      </w:tr>
      <w:tr>
        <w:trPr/>
        <w:tc>
          <w:tcPr>
            <w:tcW w:w="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4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Требования соответствия нормативным документам (лицензии, допуски, разрешения, согласования).</w:t>
            </w:r>
          </w:p>
        </w:tc>
        <w:tc>
          <w:tcPr>
            <w:tcW w:w="5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tabs>
                <w:tab w:val="clear" w:pos="706"/>
                <w:tab w:val="left" w:pos="142" w:leader="none"/>
              </w:tabs>
              <w:overflowPunct w:val="true"/>
              <w:ind w:right="225" w:hanging="0"/>
              <w:jc w:val="both"/>
              <w:rPr>
                <w:rFonts w:ascii="Arial" w:hAnsi="Arial" w:eastAsia="Times New Roman" w:cs="Arial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val="ru-RU" w:eastAsia="ru-RU" w:bidi="ar-SA"/>
              </w:rPr>
              <w:t>Работы должны быть выполнены в соответствии с действующими нормативными актами и нормативно-техническими документами в рамках настоящего Технического задания. В том числе, обязательно соблюдение следующих нормативно-технических документов:</w:t>
            </w:r>
          </w:p>
          <w:p>
            <w:pPr>
              <w:pStyle w:val="Normal"/>
              <w:widowControl w:val="false"/>
              <w:tabs>
                <w:tab w:val="clear" w:pos="706"/>
                <w:tab w:val="left" w:pos="0" w:leader="none"/>
                <w:tab w:val="left" w:pos="142" w:leader="none"/>
              </w:tabs>
              <w:overflowPunct w:val="true"/>
              <w:ind w:right="225" w:hanging="0"/>
              <w:jc w:val="both"/>
              <w:rPr>
                <w:rFonts w:ascii="Arial" w:hAnsi="Arial" w:eastAsia="Times New Roman" w:cs="Arial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val="ru-RU" w:eastAsia="ru-RU" w:bidi="ar-SA"/>
              </w:rPr>
              <w:t>- Приказ Федеральной службы по экологическому, технологическому и атомному надзору от 12 ноября 2013 г. № 533 “Об утверждении Федеральных норм и правил в области промышленной безопасности «Правила безопасности опасных производственных объектов, на которых используются подъемные сооружения”;</w:t>
            </w:r>
          </w:p>
          <w:p>
            <w:pPr>
              <w:pStyle w:val="Normal"/>
              <w:widowControl w:val="false"/>
              <w:tabs>
                <w:tab w:val="clear" w:pos="706"/>
                <w:tab w:val="left" w:pos="0" w:leader="none"/>
                <w:tab w:val="left" w:pos="142" w:leader="none"/>
              </w:tabs>
              <w:overflowPunct w:val="true"/>
              <w:ind w:right="225" w:hanging="0"/>
              <w:jc w:val="both"/>
              <w:rPr>
                <w:rFonts w:ascii="Arial" w:hAnsi="Arial" w:eastAsia="Times New Roman" w:cs="Arial"/>
                <w:sz w:val="20"/>
                <w:szCs w:val="20"/>
                <w:lang w:val="ru-RU" w:eastAsia="ru-RU" w:bidi="ar-SA"/>
              </w:rPr>
            </w:pPr>
            <w:r>
              <w:rPr>
                <w:rFonts w:eastAsia="Times New Roman" w:cs="Arial" w:ascii="Arial" w:hAnsi="Arial"/>
                <w:sz w:val="20"/>
                <w:szCs w:val="20"/>
                <w:lang w:val="ru-RU" w:eastAsia="ru-RU" w:bidi="ar-SA"/>
              </w:rPr>
              <w:t xml:space="preserve">- </w:t>
              <w:tab/>
              <w:t>ГОСТ 12.3.009-76 «Работы погрузо-разгрузочные»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- приказ МинТранса РФ от 08.08.1995 №73 «Об организации перевозок опасных грузов автомобильным транспортом.»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- «Сосуды, работающие под избыточным давлением».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  <w:lang w:val="ru-RU"/>
              </w:rPr>
              <w:t>- приказ Министерства труда и социальной защиты РФ от 23 декабря 2014г.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-постановление Министерства труда и социальной защиты РФ от 04 октября 2000г.» Об утверждении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Правил по охране труда при выполнении работ на высоте»</w:t>
            </w:r>
          </w:p>
        </w:tc>
      </w:tr>
      <w:tr>
        <w:trPr/>
        <w:tc>
          <w:tcPr>
            <w:tcW w:w="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4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Сроки выполнения работ, оказания услуг</w:t>
            </w:r>
          </w:p>
        </w:tc>
        <w:tc>
          <w:tcPr>
            <w:tcW w:w="5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/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  <w:lang w:val="ru-RU"/>
              </w:rPr>
              <w:t>С 01.0</w:t>
            </w:r>
            <w:r>
              <w:rPr>
                <w:rFonts w:cs="Arial" w:ascii="Arial" w:hAnsi="Arial"/>
                <w:sz w:val="20"/>
                <w:szCs w:val="20"/>
                <w:lang w:val="ru-RU"/>
              </w:rPr>
              <w:t>2</w:t>
            </w:r>
            <w:r>
              <w:rPr>
                <w:rFonts w:cs="Arial" w:ascii="Arial" w:hAnsi="Arial"/>
                <w:sz w:val="20"/>
                <w:szCs w:val="20"/>
                <w:lang w:val="ru-RU"/>
              </w:rPr>
              <w:t>.202</w:t>
            </w:r>
            <w:r>
              <w:rPr>
                <w:rFonts w:cs="Arial" w:ascii="Arial" w:hAnsi="Arial"/>
                <w:sz w:val="20"/>
                <w:szCs w:val="20"/>
                <w:lang w:val="ru-RU"/>
              </w:rPr>
              <w:t>4</w:t>
            </w:r>
            <w:r>
              <w:rPr>
                <w:rFonts w:cs="Arial" w:ascii="Arial" w:hAnsi="Arial"/>
                <w:sz w:val="20"/>
                <w:szCs w:val="20"/>
                <w:lang w:val="ru-RU"/>
              </w:rPr>
              <w:t xml:space="preserve"> – 31.0</w:t>
            </w:r>
            <w:r>
              <w:rPr>
                <w:rFonts w:cs="Arial" w:ascii="Arial" w:hAnsi="Arial"/>
                <w:sz w:val="20"/>
                <w:szCs w:val="20"/>
                <w:lang w:val="ru-RU"/>
              </w:rPr>
              <w:t>1</w:t>
            </w:r>
            <w:r>
              <w:rPr>
                <w:rFonts w:cs="Arial" w:ascii="Arial" w:hAnsi="Arial"/>
                <w:sz w:val="20"/>
                <w:szCs w:val="20"/>
                <w:lang w:val="ru-RU"/>
              </w:rPr>
              <w:t>.202</w:t>
            </w:r>
            <w:r>
              <w:rPr>
                <w:rFonts w:cs="Arial" w:ascii="Arial" w:hAnsi="Arial"/>
                <w:sz w:val="20"/>
                <w:szCs w:val="20"/>
                <w:lang w:val="ru-RU"/>
              </w:rPr>
              <w:t>5</w:t>
            </w:r>
            <w:r>
              <w:rPr>
                <w:rFonts w:cs="Arial" w:ascii="Arial" w:hAnsi="Arial"/>
                <w:sz w:val="20"/>
                <w:szCs w:val="20"/>
                <w:lang w:val="ru-RU"/>
              </w:rPr>
              <w:t>г.</w:t>
            </w:r>
          </w:p>
        </w:tc>
      </w:tr>
      <w:tr>
        <w:trPr/>
        <w:tc>
          <w:tcPr>
            <w:tcW w:w="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10</w:t>
            </w:r>
          </w:p>
        </w:tc>
        <w:tc>
          <w:tcPr>
            <w:tcW w:w="4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Требования к качеству услуг</w:t>
            </w:r>
          </w:p>
        </w:tc>
        <w:tc>
          <w:tcPr>
            <w:tcW w:w="5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Заказчик вправе требовать от Исполнителя замены работников, осуществляющих работы, если, по мнению Заказчика, данные работники некачественно выполняют данные работы.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Заказчик вправе требовать от Исполнителя замены работников, осуществляющих работы, в следующих случаях: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- при выявлении признаков временной нетрудоспособности;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- при положительной пробе на алкоголь в выдыхаемом воздухе;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- при выявлении признаков воздействия наркотических веществ;</w:t>
            </w:r>
          </w:p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- за нарушение требований ТЗ или несоблюдение правил по ОТ и ПБ.</w:t>
            </w:r>
          </w:p>
        </w:tc>
      </w:tr>
      <w:tr>
        <w:trPr/>
        <w:tc>
          <w:tcPr>
            <w:tcW w:w="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</w:t>
            </w:r>
          </w:p>
        </w:tc>
        <w:tc>
          <w:tcPr>
            <w:tcW w:w="40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Условия оказания услуг</w:t>
            </w:r>
          </w:p>
        </w:tc>
        <w:tc>
          <w:tcPr>
            <w:tcW w:w="56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color="auto" w:fill="auto" w:val="clear"/>
          </w:tcPr>
          <w:p>
            <w:pPr>
              <w:pStyle w:val="Style20"/>
              <w:widowControl w:val="false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cs="Arial" w:ascii="Arial" w:hAnsi="Arial"/>
                <w:sz w:val="20"/>
                <w:szCs w:val="20"/>
                <w:lang w:val="ru-RU"/>
              </w:rPr>
              <w:t>Исполнитель должен оказывать услуги качественно в полном объеме, в строгом соответствии с требованиями, предъявляемыми действующим законодательством Российской Федерации к услугам данного вида.</w:t>
            </w:r>
          </w:p>
        </w:tc>
      </w:tr>
    </w:tbl>
    <w:p>
      <w:pPr>
        <w:pStyle w:val="Normal"/>
        <w:rPr>
          <w:rFonts w:ascii="Arial" w:hAnsi="Arial"/>
          <w:sz w:val="20"/>
          <w:szCs w:val="20"/>
          <w:lang w:val="ru-RU"/>
        </w:rPr>
      </w:pPr>
      <w:r>
        <w:rPr>
          <w:rFonts w:ascii="Arial" w:hAnsi="Arial"/>
          <w:sz w:val="20"/>
          <w:szCs w:val="20"/>
          <w:lang w:val="ru-RU"/>
        </w:rPr>
        <w:t xml:space="preserve">                                            </w:t>
      </w:r>
    </w:p>
    <w:p>
      <w:pPr>
        <w:pStyle w:val="Normal"/>
        <w:rPr>
          <w:rFonts w:ascii="Arial" w:hAnsi="Arial"/>
          <w:sz w:val="20"/>
          <w:szCs w:val="20"/>
          <w:lang w:val="ru-RU"/>
        </w:rPr>
      </w:pPr>
      <w:r>
        <w:rPr>
          <w:rFonts w:ascii="Arial" w:hAnsi="Arial"/>
          <w:sz w:val="20"/>
          <w:szCs w:val="20"/>
          <w:lang w:val="ru-RU"/>
        </w:rPr>
        <w:t>Исполнитель                                                                                            Заказчик</w:t>
      </w:r>
    </w:p>
    <w:p>
      <w:pPr>
        <w:pStyle w:val="Normal"/>
        <w:rPr>
          <w:rFonts w:ascii="Arial" w:hAnsi="Arial"/>
          <w:sz w:val="20"/>
          <w:szCs w:val="20"/>
          <w:lang w:val="ru-RU"/>
        </w:rPr>
      </w:pPr>
      <w:r>
        <w:rPr>
          <w:rFonts w:ascii="Arial" w:hAnsi="Arial"/>
          <w:sz w:val="20"/>
          <w:szCs w:val="20"/>
          <w:lang w:val="ru-RU"/>
        </w:rPr>
      </w:r>
    </w:p>
    <w:p>
      <w:pPr>
        <w:pStyle w:val="Normal"/>
        <w:rPr/>
      </w:pPr>
      <w:r>
        <w:rPr>
          <w:rFonts w:ascii="Arial" w:hAnsi="Arial"/>
          <w:sz w:val="20"/>
          <w:szCs w:val="20"/>
          <w:lang w:val="ru-RU"/>
        </w:rPr>
        <w:t xml:space="preserve">______________________                                                              ______________________ В.В. Бирюков </w:t>
      </w:r>
    </w:p>
    <w:sectPr>
      <w:type w:val="nextPage"/>
      <w:pgSz w:w="11906" w:h="16838"/>
      <w:pgMar w:left="1134" w:right="566" w:gutter="0" w:header="0" w:top="284" w:footer="0" w:bottom="851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Arial">
    <w:charset w:val="cc"/>
    <w:family w:val="roman"/>
    <w:pitch w:val="variable"/>
  </w:font>
  <w:font w:name="Verdan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6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en-US" w:eastAsia="en-US" w:bidi="en-US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ndale Sans UI" w:cs="Tahoma"/>
      <w:color w:val="00000A"/>
      <w:kern w:val="0"/>
      <w:sz w:val="24"/>
      <w:szCs w:val="24"/>
      <w:lang w:val="en-US" w:eastAsia="en-US" w:bidi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2 Знак"/>
    <w:basedOn w:val="DefaultParagraphFont"/>
    <w:link w:val="2"/>
    <w:uiPriority w:val="99"/>
    <w:semiHidden/>
    <w:qFormat/>
    <w:rsid w:val="00851857"/>
    <w:rPr>
      <w:color w:val="00000A"/>
      <w:sz w:val="24"/>
    </w:rPr>
  </w:style>
  <w:style w:type="character" w:styleId="Style14" w:customStyle="1">
    <w:name w:val="Текст выноски Знак"/>
    <w:basedOn w:val="DefaultParagraphFont"/>
    <w:uiPriority w:val="99"/>
    <w:semiHidden/>
    <w:qFormat/>
    <w:rsid w:val="00043535"/>
    <w:rPr>
      <w:rFonts w:ascii="Segoe UI" w:hAnsi="Segoe UI" w:cs="Segoe UI"/>
      <w:color w:val="00000A"/>
      <w:sz w:val="18"/>
      <w:szCs w:val="18"/>
    </w:rPr>
  </w:style>
  <w:style w:type="paragraph" w:styleId="Style15" w:customStyle="1">
    <w:name w:val="Заголовок"/>
    <w:basedOn w:val="Normal"/>
    <w:next w:val="Style16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Style16">
    <w:name w:val="Body Text"/>
    <w:basedOn w:val="Normal"/>
    <w:pPr>
      <w:spacing w:before="0" w:after="12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Style20" w:customStyle="1">
    <w:name w:val="Содержимое таблицы"/>
    <w:basedOn w:val="Normal"/>
    <w:qFormat/>
    <w:pPr/>
    <w:rPr/>
  </w:style>
  <w:style w:type="paragraph" w:styleId="BodyText2">
    <w:name w:val="Body Text 2"/>
    <w:basedOn w:val="Normal"/>
    <w:uiPriority w:val="99"/>
    <w:semiHidden/>
    <w:unhideWhenUsed/>
    <w:qFormat/>
    <w:rsid w:val="00851857"/>
    <w:pPr>
      <w:spacing w:lineRule="auto" w:line="480" w:before="0" w:after="120"/>
    </w:pPr>
    <w:rPr/>
  </w:style>
  <w:style w:type="paragraph" w:styleId="Style21" w:customStyle="1">
    <w:name w:val="Список нумерованный"/>
    <w:basedOn w:val="Normal"/>
    <w:qFormat/>
    <w:rsid w:val="00c95059"/>
    <w:pPr>
      <w:widowControl/>
      <w:overflowPunct w:val="true"/>
      <w:spacing w:before="0" w:after="240"/>
    </w:pPr>
    <w:rPr>
      <w:rFonts w:ascii="Verdana" w:hAnsi="Verdana" w:eastAsia="Times New Roman" w:cs="Times New Roman"/>
      <w:sz w:val="18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043535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LibreOffice/7.2.1.2$Windows_X86_64 LibreOffice_project/87b77fad49947c1441b67c559c339af8f3517e22</Application>
  <AppVersion>15.0000</AppVersion>
  <Pages>2</Pages>
  <Words>715</Words>
  <Characters>4963</Characters>
  <CharactersWithSpaces>5961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2023-02-01T12:50:00Z</dcterms:created>
  <dc:creator>Нефедов Сергей Юрьевич</dc:creator>
  <dc:description/>
  <dc:language>ru-RU</dc:language>
  <cp:lastModifiedBy/>
  <cp:lastPrinted>2023-01-30T15:33:00Z</cp:lastPrinted>
  <dcterms:modified xsi:type="dcterms:W3CDTF">2023-12-14T10:30:42Z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Info 1">
    <vt:lpwstr/>
  </property>
  <property fmtid="{D5CDD505-2E9C-101B-9397-08002B2CF9AE}" pid="4" name="Info 2">
    <vt:lpwstr/>
  </property>
  <property fmtid="{D5CDD505-2E9C-101B-9397-08002B2CF9AE}" pid="5" name="Info 3">
    <vt:lpwstr/>
  </property>
  <property fmtid="{D5CDD505-2E9C-101B-9397-08002B2CF9AE}" pid="6" name="Info 4">
    <vt:lpwstr/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